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717"/>
      </w:tblGrid>
      <w:tr w:rsidR="00F95F14">
        <w:trPr>
          <w:trHeight w:val="788"/>
        </w:trPr>
        <w:tc>
          <w:tcPr>
            <w:tcW w:w="10717" w:type="dxa"/>
            <w:shd w:val="clear" w:color="auto" w:fill="auto"/>
          </w:tcPr>
          <w:p w:rsidR="00F95F14" w:rsidRDefault="004C51A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Требования к содержанию, составу заявки на участие в закупке в соответствии с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системе/Федеральный закон) и инструкция по ее заполнению.</w:t>
            </w:r>
          </w:p>
        </w:tc>
      </w:tr>
    </w:tbl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1. Требования к содержанию и составу заявки на участие в закупке. 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1.1 Заявка на участие в закупке должна содержать следующую информацию и документы: 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1.1.1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 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1.1.2 декларацию о соответствии участника закупки требованиям, установленным пунктами 3 - 5, 7 - 11 части 1 статьи 31 Федерального закона; 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1.1.3 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 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1.1.4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закона, товарный знак (при наличии у товара товарного знака). Характеристики предлагаемого участником закупки товара могут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обозначенного таким товарным знаком; 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1.1.5 наименование страны происхождения товара в соответствии с общероссийским классификатором, используемым для идентификации стран мира; 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1.1.6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услуге: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предоставление документов не требуется </w:t>
      </w: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35"/>
        <w:gridCol w:w="2478"/>
        <w:gridCol w:w="6204"/>
      </w:tblGrid>
      <w:tr w:rsidR="00F95F14">
        <w:trPr>
          <w:trHeight w:val="459"/>
        </w:trPr>
        <w:tc>
          <w:tcPr>
            <w:tcW w:w="10717" w:type="dxa"/>
            <w:gridSpan w:val="3"/>
            <w:shd w:val="clear" w:color="auto" w:fill="auto"/>
          </w:tcPr>
          <w:p w:rsidR="00F95F14" w:rsidRDefault="004C51A8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1.1.7 информация и документы, определенные в соответствии с пунктом 2 части 2 статьи 14 Федерального закона: </w:t>
            </w:r>
          </w:p>
          <w:p w:rsidR="00F95F14" w:rsidRDefault="00F95F14"/>
        </w:tc>
      </w:tr>
      <w:tr w:rsidR="00F95F14">
        <w:trPr>
          <w:trHeight w:val="1132"/>
        </w:trPr>
        <w:tc>
          <w:tcPr>
            <w:tcW w:w="10717" w:type="dxa"/>
            <w:gridSpan w:val="3"/>
            <w:tcBorders>
              <w:bottom w:val="single" w:sz="5" w:space="0" w:color="000000"/>
            </w:tcBorders>
            <w:shd w:val="clear" w:color="auto" w:fill="auto"/>
          </w:tcPr>
          <w:p w:rsidR="00F95F14" w:rsidRDefault="004C51A8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ab/>
              <w:t>Основанием для установки указания запретов, ограничений закупок товаров, происходящих из иностранных государств, выполняемых работ, оказываемых услуг иностранными лицами, а также преимуществ в отношении товаров российского происхождения, а также товаров происходящих из стран ЕАЭС, выполняемых работ, оказываемых услуг российскими лицами, а также лицами, зарегистрированными в странах ЕАЭС, является Постановление Правительства Российской Федерации о мерах по предоставлению национального режима от 23.12.2024 №1875</w:t>
            </w:r>
          </w:p>
          <w:p w:rsidR="00F95F14" w:rsidRDefault="00F95F14"/>
        </w:tc>
      </w:tr>
      <w:tr w:rsidR="00F95F14">
        <w:trPr>
          <w:trHeight w:val="530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left w:w="29" w:type="dxa"/>
              <w:right w:w="29" w:type="dxa"/>
            </w:tcMar>
          </w:tcPr>
          <w:p w:rsidR="00F95F14" w:rsidRDefault="004C51A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Объект закупки</w:t>
            </w:r>
          </w:p>
        </w:tc>
        <w:tc>
          <w:tcPr>
            <w:tcW w:w="2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left w:w="29" w:type="dxa"/>
              <w:right w:w="29" w:type="dxa"/>
            </w:tcMar>
          </w:tcPr>
          <w:p w:rsidR="00F95F14" w:rsidRDefault="004C51A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Вид требования</w:t>
            </w:r>
          </w:p>
        </w:tc>
        <w:tc>
          <w:tcPr>
            <w:tcW w:w="62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left w:w="29" w:type="dxa"/>
              <w:right w:w="29" w:type="dxa"/>
            </w:tcMar>
          </w:tcPr>
          <w:p w:rsidR="00F95F14" w:rsidRDefault="004C51A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Информация и документы, определенные в соответствии с пунктом 2 части 2 статьи 14 Федерального закона*</w:t>
            </w:r>
          </w:p>
        </w:tc>
      </w:tr>
      <w:tr w:rsidR="00F95F14">
        <w:trPr>
          <w:trHeight w:val="1633"/>
        </w:trPr>
        <w:tc>
          <w:tcPr>
            <w:tcW w:w="2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left w:w="29" w:type="dxa"/>
              <w:right w:w="29" w:type="dxa"/>
            </w:tcMar>
          </w:tcPr>
          <w:p w:rsidR="00F95F14" w:rsidRDefault="004C51A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05.10.10.000-00000025</w:t>
            </w:r>
          </w:p>
          <w:p w:rsidR="00F95F14" w:rsidRDefault="004C51A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Уголь</w:t>
            </w:r>
          </w:p>
        </w:tc>
        <w:tc>
          <w:tcPr>
            <w:tcW w:w="2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left w:w="29" w:type="dxa"/>
              <w:right w:w="29" w:type="dxa"/>
            </w:tcMar>
          </w:tcPr>
          <w:p w:rsidR="00F95F14" w:rsidRDefault="004C51A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Преимущество в отношении товаров российского происхождения, выполняемых работ, оказываемых услуг российскими лицами</w:t>
            </w:r>
          </w:p>
        </w:tc>
        <w:tc>
          <w:tcPr>
            <w:tcW w:w="62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29" w:type="dxa"/>
              <w:left w:w="29" w:type="dxa"/>
              <w:right w:w="29" w:type="dxa"/>
            </w:tcMar>
          </w:tcPr>
          <w:p w:rsidR="00F95F14" w:rsidRDefault="004C51A8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Указание в заявке на участие в закупке наименования страны происхождения товара, такое указание осуществляется в соответствии с подпунктом «б» пункта 2 части 1 статьи 43 Федерального закона и пункта 1.1.5 настоящего Требования к содержанию, составу заявки на участие в закупке и инструкции по ее заполнению </w:t>
            </w:r>
          </w:p>
          <w:p w:rsidR="00F95F14" w:rsidRDefault="00F95F14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  <w:p w:rsidR="00F95F14" w:rsidRDefault="00F95F14"/>
        </w:tc>
      </w:tr>
      <w:tr w:rsidR="00F95F14">
        <w:trPr>
          <w:trHeight w:val="688"/>
        </w:trPr>
        <w:tc>
          <w:tcPr>
            <w:tcW w:w="10717" w:type="dxa"/>
            <w:gridSpan w:val="3"/>
            <w:tcBorders>
              <w:top w:val="single" w:sz="5" w:space="0" w:color="000000"/>
            </w:tcBorders>
            <w:shd w:val="clear" w:color="auto" w:fill="auto"/>
          </w:tcPr>
          <w:p w:rsidR="00F95F14" w:rsidRDefault="004C51A8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ab/>
              <w:t xml:space="preserve"> *- в случае отсутствия указанной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государства, работ, услуг, соответственно выполняемых, оказываемых иностранными лицами.</w:t>
            </w:r>
          </w:p>
          <w:p w:rsidR="00F95F14" w:rsidRDefault="00F95F14"/>
        </w:tc>
      </w:tr>
    </w:tbl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>1.1.8 Документы, подтверждающие соответствие участника закупки требованиям, установленным пунктом 1 части 1 статьи 31 Федерального закона и документы, подтверждающие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Федерального закона. Сведения о требованиях, предъявляемых к участникам закупки в соответствии с пунктом 1 части 1 статьи 31 Федерального закона, требованиях, предъявляемых к участникам закупки в соответствии с частями 2 и 2.1 статьи 31 Федерального закона, и исчерпывающий перечень документов, подтверждающих соответствие участника закупки таким требованиям указан в пунктах 1.1.8.1, 1.1.8.2 и 1.1.8.3 настоящих требований. Указанные в пунктах 1.1.8.2 и 1.1.8.3 настоящих требований документы включаются в заявку участника в порядке, предусмотренном пунктом 2.3 инструкции по заполнению заявки.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1.1.8.1 Требования к участникам закупки, устанавливаемые в соответствии с пунктом 1 части 1 статьи 31 Федерального закона: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не установлены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 Информация и документы, подтверждающие соответствие участника аукциона данным требованиям: не установлено 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 Нормативный правовой акт, устанавливающий такие требования: не установлены 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1.1.8.2 Требования к участникам закупки, устанавливаемые в соответствии с частью 2 статьи 31 Федерального закона </w:t>
      </w:r>
      <w:r w:rsidR="00210D5E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(</w:t>
      </w:r>
      <w:r w:rsidR="00210D5E" w:rsidRPr="00210D5E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Требования в соответствии </w:t>
      </w:r>
      <w:proofErr w:type="spellStart"/>
      <w:r w:rsidR="00210D5E" w:rsidRPr="00210D5E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c</w:t>
      </w:r>
      <w:proofErr w:type="spellEnd"/>
      <w:r w:rsidR="00210D5E" w:rsidRPr="00210D5E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 пунктом 4 ПП РФ от 29.12.2021 №2571)</w:t>
      </w:r>
    </w:p>
    <w:p w:rsidR="00210D5E" w:rsidRPr="00210D5E" w:rsidRDefault="004C51A8" w:rsidP="00210D5E">
      <w:pPr>
        <w:spacing w:line="229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</w:r>
      <w:proofErr w:type="gramStart"/>
      <w:r w:rsidR="00210D5E" w:rsidRPr="00210D5E">
        <w:rPr>
          <w:rFonts w:ascii="Times New Roman" w:eastAsia="Times New Roman" w:hAnsi="Times New Roman" w:cs="Times New Roman"/>
          <w:spacing w:val="-2"/>
          <w:sz w:val="20"/>
          <w:szCs w:val="20"/>
        </w:rPr>
        <w:t>Наличие у участника закупки опыта  исполнения (с учетом правопреемства)  в течение трех лет  до даты подачи заявки на участие в закупке контракта или договора, заключенного в соответствии с Федеральным законом от 18 июля 2011 года № 223-ФЗ «О закупках товаров, работ, услуг отдельными видами юридических лиц» при условии исполнения таким участником закупки требований об уплате неустоек (штрафов, пеней), предъявленных при исполнении</w:t>
      </w:r>
      <w:proofErr w:type="gramEnd"/>
      <w:r w:rsidR="00210D5E" w:rsidRPr="00210D5E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proofErr w:type="gramStart"/>
      <w:r w:rsidR="00210D5E" w:rsidRPr="00210D5E">
        <w:rPr>
          <w:rFonts w:ascii="Times New Roman" w:eastAsia="Times New Roman" w:hAnsi="Times New Roman" w:cs="Times New Roman"/>
          <w:spacing w:val="-2"/>
          <w:sz w:val="20"/>
          <w:szCs w:val="20"/>
        </w:rPr>
        <w:t>таких</w:t>
      </w:r>
      <w:proofErr w:type="gramEnd"/>
      <w:r w:rsidR="00210D5E" w:rsidRPr="00210D5E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контракта, договора. Стоимость исполненных обязательств по таким контракту, договору должна составлять не менее двадцати процентов начальной (максимальной) цены контракта.</w:t>
      </w:r>
    </w:p>
    <w:p w:rsidR="00210D5E" w:rsidRPr="00210D5E" w:rsidRDefault="004C51A8" w:rsidP="00210D5E">
      <w:pPr>
        <w:spacing w:line="229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Информация и документы, подтверждающие соответствие участников закупки дополнительным требованиям: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 w:rsidR="00210D5E" w:rsidRPr="00210D5E">
        <w:rPr>
          <w:rFonts w:ascii="Times New Roman" w:eastAsia="Times New Roman" w:hAnsi="Times New Roman" w:cs="Times New Roman"/>
          <w:spacing w:val="-2"/>
          <w:sz w:val="20"/>
          <w:szCs w:val="20"/>
        </w:rPr>
        <w:t>Информация и документы, подтверждающие соответствие участника закупки дополнительному требованию, установленному в соответствии с частью 2.1 ст. 31 Закона о контрактной системе, являются информация и документы, предусмотренные хотя бы одним из следующих подпунктов:</w:t>
      </w:r>
    </w:p>
    <w:p w:rsidR="00210D5E" w:rsidRPr="00210D5E" w:rsidRDefault="00210D5E" w:rsidP="00210D5E">
      <w:pPr>
        <w:spacing w:line="229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210D5E">
        <w:rPr>
          <w:rFonts w:ascii="Times New Roman" w:eastAsia="Times New Roman" w:hAnsi="Times New Roman" w:cs="Times New Roman"/>
          <w:spacing w:val="-2"/>
          <w:sz w:val="20"/>
          <w:szCs w:val="20"/>
        </w:rPr>
        <w:lastRenderedPageBreak/>
        <w:t xml:space="preserve">а) номер реестровой записи в предусмотренном Законом о контрактной системе реестре контрактов, заключенных заказчиками (в случае исполнения участником закупки контракта, информация и </w:t>
      </w:r>
      <w:proofErr w:type="gramStart"/>
      <w:r w:rsidRPr="00210D5E">
        <w:rPr>
          <w:rFonts w:ascii="Times New Roman" w:eastAsia="Times New Roman" w:hAnsi="Times New Roman" w:cs="Times New Roman"/>
          <w:spacing w:val="-2"/>
          <w:sz w:val="20"/>
          <w:szCs w:val="20"/>
        </w:rPr>
        <w:t>документы</w:t>
      </w:r>
      <w:proofErr w:type="gramEnd"/>
      <w:r w:rsidRPr="00210D5E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в отношении которого включены в установленном порядке в такой реестр и размещены на официальном сайте единой информационной системы в информационно-телекоммуникационной сети "Интернет");</w:t>
      </w:r>
    </w:p>
    <w:p w:rsidR="00210D5E" w:rsidRPr="00210D5E" w:rsidRDefault="00210D5E" w:rsidP="00210D5E">
      <w:pPr>
        <w:spacing w:line="229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  <w:r w:rsidRPr="00210D5E">
        <w:rPr>
          <w:rFonts w:ascii="Times New Roman" w:eastAsia="Times New Roman" w:hAnsi="Times New Roman" w:cs="Times New Roman"/>
          <w:spacing w:val="-2"/>
          <w:sz w:val="20"/>
          <w:szCs w:val="20"/>
        </w:rPr>
        <w:t>б) выписка из предусмотренного Законом о контрактной системе реестра контрактов, содержащего сведения, составляющие государственную тайну (в случае исполнения участником закупки контракта, информация о котором включена в установленном порядке в такой реестр);</w:t>
      </w:r>
    </w:p>
    <w:p w:rsidR="00210D5E" w:rsidRDefault="00210D5E" w:rsidP="00210D5E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 w:rsidRPr="00210D5E">
        <w:rPr>
          <w:rFonts w:ascii="Times New Roman" w:eastAsia="Times New Roman" w:hAnsi="Times New Roman" w:cs="Times New Roman"/>
          <w:spacing w:val="-2"/>
          <w:sz w:val="20"/>
          <w:szCs w:val="20"/>
        </w:rPr>
        <w:t>в) исполненный контракт, заключенный в соответствии с Законом о контрактной системе, или договор, заключенный в соответствии с Федеральным законом "О закупках товаров, работ, услуг отдельными видами юридических лиц", а также акт приемки поставленных товаров, выполненных работ, оказанных услуг, подтверждающий цену поставленных товаров, выполненных работ, оказанных услуг.</w:t>
      </w:r>
    </w:p>
    <w:p w:rsidR="00210D5E" w:rsidRDefault="00210D5E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</w:p>
    <w:p w:rsidR="00210D5E" w:rsidRDefault="004C51A8" w:rsidP="00210D5E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 xml:space="preserve">Нормативный правовой акт, устанавливающий такие требования: </w:t>
      </w:r>
      <w:r w:rsidR="00210D5E"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Постановление Правительства РФ от 29.12.2021 № 2571 «О требованиях к участникам закупки товаров, работ,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Федерации». </w:t>
      </w:r>
    </w:p>
    <w:p w:rsidR="00210D5E" w:rsidRDefault="00210D5E">
      <w:pPr>
        <w:spacing w:line="229" w:lineRule="auto"/>
        <w:jc w:val="both"/>
        <w:rPr>
          <w:rFonts w:ascii="Times New Roman" w:eastAsia="Times New Roman" w:hAnsi="Times New Roman" w:cs="Times New Roman"/>
          <w:spacing w:val="-2"/>
          <w:sz w:val="20"/>
          <w:szCs w:val="20"/>
        </w:rPr>
      </w:pP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1.1.8.3 Требования к участникам закупки, устанавливаемые в соответствии с частью 2.1 статьи 31 Федерального закона: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не установлено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 Информация и документы, подтверждающие соответствие участника аукциона данным требованиям: не установлено 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2. Инструкция по заполнению заявки. 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2.1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оператору электронной площадки, оператору специализированной электронной площадки. 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2.2 Информация и документы, предусмотренные подпунктами «а» - «л» пункта 1 части 1 статьи 43 Федерального закона, не включаются участником закупки в заявку на участие в закупке. Такие информация и документы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 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2.3 Документы, подтверждающие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Федерального закона, и предусмотренные подпунктом «н» пункта 1 части 1 статьи 43 Федерального закона, не включаются участником закупки в заявку на участие в закупке. Такие документы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 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2.4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закона, предоставление которых предусмотрено пунктом 1.1.4 настоящих Требований, формируются участником закупки с учетом следующего: 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2.4.1 при описании показателей и (или) их значений предлагаемого участником закупки товара, участником закупки должна представляться достоверная информация о таких показателях и (или) их значениях в рамках требований, установленных в описании объекта закупки; 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2.4.2 при описании показателей товара и (или) их значений участником закупки указываются показатели и (или) их значения в рамках, установленных в описании объекта закупки; 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>2.4.3 при описании показателей товара и (или) их значений участнику закупки необходимо учитывать следующее: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>-при формировании заявки на участие реализована работа с объектами закупки в структурированном виде и их экспорт в ЕИС в составе пакета протокола;</w:t>
      </w:r>
    </w:p>
    <w:p w:rsidR="00F95F14" w:rsidRDefault="004C51A8">
      <w:pPr>
        <w:spacing w:line="229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ab/>
        <w:t xml:space="preserve">-характеристики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закона, предоставление которых предусмотрено пунктом 1.1.4. настоящих Требований, формируются участником закупки в соответствии с инструкцией, размещенной на электронной площадке и столбца «Инструкция по заполнению характеристик в заявке» таблицы раздела извещения об осуществлении закупки «Объект закупки». </w:t>
      </w:r>
    </w:p>
    <w:sectPr w:rsidR="00F95F14" w:rsidSect="00F95F14">
      <w:pgSz w:w="11906" w:h="16838"/>
      <w:pgMar w:top="567" w:right="567" w:bottom="517" w:left="567" w:header="567" w:footer="51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5F14"/>
    <w:rsid w:val="00033C47"/>
    <w:rsid w:val="00210D5E"/>
    <w:rsid w:val="004C51A8"/>
    <w:rsid w:val="00F95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F14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1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1623</Words>
  <Characters>9252</Characters>
  <Application>Microsoft Office Word</Application>
  <DocSecurity>0</DocSecurity>
  <Lines>77</Lines>
  <Paragraphs>21</Paragraphs>
  <ScaleCrop>false</ScaleCrop>
  <Company>Stimulsoft Reports 2020.5.2 from 26 November 2020</Company>
  <LinksUpToDate>false</LinksUpToDate>
  <CharactersWithSpaces>10854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Requirements_Purchase_PILOT_(Sti)</dc:title>
  <dc:subject>Requirements_Purchase_PILOT_(Sti)</dc:subject>
  <dc:creator>rvv</dc:creator>
  <dc:description>Требования к содержанию, составу заявки на участие в закупке ПИЛОТ</dc:description>
  <cp:lastModifiedBy>Windows User</cp:lastModifiedBy>
  <cp:revision>3</cp:revision>
  <dcterms:created xsi:type="dcterms:W3CDTF">2025-09-25T16:36:00Z</dcterms:created>
  <dcterms:modified xsi:type="dcterms:W3CDTF">2025-09-27T08:09:00Z</dcterms:modified>
</cp:coreProperties>
</file>